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sz w:val="32"/>
        </w:rPr>
        <w:t>Política de Drogas y Alcohol – Plantilla (Part 382) – ES/EN</w:t>
      </w:r>
    </w:p>
    <w:p>
      <w:r>
        <w:t>Esta política base debe adaptarse a su operación (p. ej., cadena de custodia, proveedores, paneles, procesos).</w:t>
      </w:r>
    </w:p>
    <w:p>
      <w:r>
        <w:rPr>
          <w:b/>
          <w:sz w:val="28"/>
        </w:rPr>
        <w:t>Ámbito / Scope</w:t>
      </w:r>
    </w:p>
    <w:p>
      <w:r>
        <w:t>Aplica a todos los conductores cubiertos por 49 CFR Part 382.</w:t>
      </w:r>
    </w:p>
    <w:p>
      <w:r>
        <w:rPr>
          <w:b/>
          <w:sz w:val="28"/>
        </w:rPr>
        <w:t>Tipos de pruebas / Testing Types</w:t>
      </w:r>
    </w:p>
    <w:p>
      <w:r>
        <w:t>Pre‑empleo, aleatorias, post‑accidente, razonable sospecha, retorno al servicio, seguimiento.</w:t>
      </w:r>
    </w:p>
    <w:p>
      <w:r>
        <w:rPr>
          <w:b/>
          <w:sz w:val="28"/>
        </w:rPr>
        <w:t>Clearinghouse</w:t>
      </w:r>
    </w:p>
    <w:p>
      <w:r>
        <w:t>La empresa debe registrar y consultar incidentes conforme Part 382; el chofer firma consentimiento.</w:t>
      </w:r>
    </w:p>
    <w:p>
      <w:r>
        <w:rPr>
          <w:b/>
          <w:sz w:val="28"/>
        </w:rPr>
        <w:t>Procedimientos / Procedures</w:t>
      </w:r>
    </w:p>
    <w:p>
      <w:r>
        <w:t>Describir notificación, recolección, laboratorio, revisión MRO, consecuencias y programas SAP.</w:t>
      </w:r>
    </w:p>
    <w:p>
      <w:r>
        <w:rPr>
          <w:b/>
          <w:sz w:val="28"/>
        </w:rPr>
        <w:t>Firma y acuse / Acknowledgment</w:t>
      </w:r>
    </w:p>
    <w:p>
      <w:r>
        <w:t>El empleado reconoce haber leído y recibido esta política.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